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AD055" w14:textId="4AC3FC4E" w:rsidR="00CC31D9" w:rsidRPr="00D77997" w:rsidRDefault="009F0150" w:rsidP="00D77997">
      <w:pPr>
        <w:spacing w:after="480" w:line="240" w:lineRule="auto"/>
        <w:jc w:val="center"/>
        <w:rPr>
          <w:rFonts w:ascii="PT Serif" w:eastAsia="Times New Roman" w:hAnsi="PT Serif" w:cs="Times New Roman"/>
          <w:b/>
          <w:bCs/>
          <w:color w:val="000000"/>
          <w:sz w:val="44"/>
          <w:szCs w:val="44"/>
          <w:lang w:val="en-US"/>
        </w:rPr>
      </w:pPr>
      <w:r w:rsidRPr="00D77997">
        <w:rPr>
          <w:rFonts w:ascii="PT Serif" w:eastAsia="Times New Roman" w:hAnsi="PT Serif" w:cs="Times New Roman"/>
          <w:b/>
          <w:bCs/>
          <w:color w:val="000000"/>
          <w:sz w:val="44"/>
          <w:szCs w:val="44"/>
          <w:lang w:val="en-US"/>
        </w:rPr>
        <w:t>Delegation Handoff Risks… and Solutions</w:t>
      </w:r>
    </w:p>
    <w:p w14:paraId="5BB30FF4" w14:textId="3BC73EC7" w:rsidR="009F0150" w:rsidRPr="00D77997" w:rsidRDefault="00D77997" w:rsidP="00D77997">
      <w:pPr>
        <w:rPr>
          <w:rFonts w:ascii="PT Serif" w:hAnsi="PT Serif"/>
          <w:lang w:val="en-US"/>
        </w:rPr>
      </w:pPr>
      <w:r w:rsidRPr="00D77997">
        <w:rPr>
          <w:rFonts w:ascii="PT Serif" w:hAnsi="PT Serif"/>
          <w:lang w:val="en-US"/>
        </w:rPr>
        <w:t xml:space="preserve">A legal team cannot thrive without effective ways to handoff—that is, to delegate—critical legal tasks. In Chapter 15 of All Rise, I </w:t>
      </w:r>
      <w:r>
        <w:rPr>
          <w:rFonts w:ascii="PT Serif" w:hAnsi="PT Serif"/>
          <w:lang w:val="en-US"/>
        </w:rPr>
        <w:t>highlighted common pitfalls in the “</w:t>
      </w:r>
      <w:r w:rsidRPr="00D77997">
        <w:rPr>
          <w:rFonts w:ascii="PT Serif" w:hAnsi="PT Serif"/>
          <w:lang w:val="en-US"/>
        </w:rPr>
        <w:t>handoff</w:t>
      </w:r>
      <w:r>
        <w:rPr>
          <w:rFonts w:ascii="PT Serif" w:hAnsi="PT Serif"/>
          <w:lang w:val="en-US"/>
        </w:rPr>
        <w:t>” of legal work</w:t>
      </w:r>
      <w:r w:rsidRPr="00D77997">
        <w:rPr>
          <w:rFonts w:ascii="PT Serif" w:hAnsi="PT Serif"/>
          <w:lang w:val="en-US"/>
        </w:rPr>
        <w:t>.</w:t>
      </w:r>
      <w:r>
        <w:rPr>
          <w:rFonts w:ascii="PT Serif" w:hAnsi="PT Serif"/>
          <w:lang w:val="en-US"/>
        </w:rPr>
        <w:t xml:space="preserve"> Below is a summary of those handoff risks and solutions to consider.</w:t>
      </w:r>
      <w:r w:rsidRPr="00D77997">
        <w:rPr>
          <w:rFonts w:ascii="PT Serif" w:hAnsi="PT Serif"/>
          <w:lang w:val="en-US"/>
        </w:rPr>
        <w:t xml:space="preserve"> </w:t>
      </w:r>
    </w:p>
    <w:tbl>
      <w:tblPr>
        <w:tblW w:w="10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0"/>
        <w:gridCol w:w="6660"/>
      </w:tblGrid>
      <w:tr w:rsidR="009F0150" w:rsidRPr="00D77997" w14:paraId="5BEFEBAD" w14:textId="77777777" w:rsidTr="00044BB4">
        <w:tc>
          <w:tcPr>
            <w:tcW w:w="3590" w:type="dxa"/>
            <w:shd w:val="clear" w:color="auto" w:fill="1A41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7F9E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color w:val="FFFFFF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color w:val="FFFFFF"/>
                <w:sz w:val="22"/>
                <w:szCs w:val="22"/>
              </w:rPr>
              <w:t>Handoff Risks</w:t>
            </w:r>
          </w:p>
        </w:tc>
        <w:tc>
          <w:tcPr>
            <w:tcW w:w="6660" w:type="dxa"/>
            <w:shd w:val="clear" w:color="auto" w:fill="1A419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92DC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color w:val="FFFFFF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color w:val="FFFFFF"/>
                <w:sz w:val="22"/>
                <w:szCs w:val="22"/>
              </w:rPr>
              <w:t>Solutions</w:t>
            </w:r>
          </w:p>
        </w:tc>
      </w:tr>
      <w:tr w:rsidR="009F0150" w:rsidRPr="00D77997" w14:paraId="025FAD94" w14:textId="77777777" w:rsidTr="00044BB4"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4010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  <w:t>Delegating without context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37516" w14:textId="4F133B55" w:rsidR="009F0150" w:rsidRPr="00D77997" w:rsidRDefault="00BD4897" w:rsidP="009F0150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>
              <w:rPr>
                <w:rFonts w:ascii="PT Serif" w:hAnsi="PT Serif"/>
                <w:color w:val="000000" w:themeColor="text1"/>
                <w:sz w:val="22"/>
                <w:szCs w:val="22"/>
              </w:rPr>
              <w:t>Discuss</w:t>
            </w:r>
            <w:r w:rsidR="009F0150"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 xml:space="preserve"> not just the task and matter but the client, practice group, and firm strategy</w:t>
            </w:r>
          </w:p>
        </w:tc>
      </w:tr>
      <w:tr w:rsidR="009F0150" w:rsidRPr="00D77997" w14:paraId="6E29A963" w14:textId="77777777" w:rsidTr="00044BB4"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BF6A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  <w:t>Delegating without guardrails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60546" w14:textId="77777777" w:rsidR="009F0150" w:rsidRPr="00D77997" w:rsidRDefault="009F0150" w:rsidP="009F015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Time estimates/time-boxing (e.g., “If you spend more than two hours, check in with me.”)</w:t>
            </w:r>
          </w:p>
          <w:p w14:paraId="42C52F03" w14:textId="77777777" w:rsidR="009F0150" w:rsidRPr="00D77997" w:rsidRDefault="009F0150" w:rsidP="009F015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Scope constraints (e.g., issues to avoid, decisions that were already made)</w:t>
            </w:r>
          </w:p>
          <w:p w14:paraId="21A9651A" w14:textId="77777777" w:rsidR="009F0150" w:rsidRPr="00D77997" w:rsidRDefault="009F0150" w:rsidP="009F015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 xml:space="preserve">Resource support (e.g., if </w:t>
            </w:r>
            <w:r w:rsidRPr="00D77997">
              <w:rPr>
                <w:rFonts w:ascii="PT Serif" w:hAnsi="PT Serif"/>
                <w:color w:val="000000" w:themeColor="text1"/>
                <w:sz w:val="22"/>
                <w:szCs w:val="22"/>
                <w:u w:val="double"/>
              </w:rPr>
              <w:t>needed</w:t>
            </w: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, leverage paralegals, other associates, vendors)</w:t>
            </w:r>
          </w:p>
          <w:p w14:paraId="7A985635" w14:textId="77777777" w:rsidR="009F0150" w:rsidRPr="00D77997" w:rsidRDefault="009F0150" w:rsidP="009F015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Relief valves (e.g., reducing scope, reducing formality, requesting more time)</w:t>
            </w:r>
          </w:p>
          <w:p w14:paraId="41301F32" w14:textId="77777777" w:rsidR="009F0150" w:rsidRPr="00D77997" w:rsidRDefault="009F0150" w:rsidP="009F0150">
            <w:pPr>
              <w:widowControl w:val="0"/>
              <w:numPr>
                <w:ilvl w:val="0"/>
                <w:numId w:val="23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Also helpful: a “surface, don’t solve” rule</w:t>
            </w:r>
          </w:p>
        </w:tc>
      </w:tr>
      <w:tr w:rsidR="009F0150" w:rsidRPr="00D77997" w14:paraId="48B79B85" w14:textId="77777777" w:rsidTr="00044BB4"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2E34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  <w:t xml:space="preserve">Delegating without prioritizing 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68D0" w14:textId="77777777" w:rsidR="009F0150" w:rsidRPr="00D77997" w:rsidRDefault="009F0150" w:rsidP="009F0150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Discuss other priorities within the project</w:t>
            </w:r>
          </w:p>
          <w:p w14:paraId="452AF14B" w14:textId="77777777" w:rsidR="009F0150" w:rsidRPr="00D77997" w:rsidRDefault="009F0150" w:rsidP="009F0150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Discuss the person’s priorities outside the project</w:t>
            </w:r>
          </w:p>
          <w:p w14:paraId="1B779C4C" w14:textId="77777777" w:rsidR="009F0150" w:rsidRPr="00D77997" w:rsidRDefault="009F0150" w:rsidP="009F0150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Talk about expected personal time or PTO constraints</w:t>
            </w:r>
          </w:p>
          <w:p w14:paraId="56B3BF1D" w14:textId="77777777" w:rsidR="009F0150" w:rsidRPr="00D77997" w:rsidRDefault="009F0150" w:rsidP="009F0150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Ask about other personal priorities and goals</w:t>
            </w:r>
          </w:p>
        </w:tc>
      </w:tr>
      <w:tr w:rsidR="009F0150" w:rsidRPr="00D77997" w14:paraId="56D3DE54" w14:textId="77777777" w:rsidTr="00044BB4"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0AF1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  <w:t>Delegating to the same people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A049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 xml:space="preserve">Ensure balance across the team by tracking and reviewing assignments before delegating new tasks </w:t>
            </w:r>
          </w:p>
          <w:p w14:paraId="5B07D71A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Be aware of your own biases and “favorites,” and remember that a manager’s job is to teach</w:t>
            </w:r>
          </w:p>
        </w:tc>
      </w:tr>
      <w:tr w:rsidR="009F0150" w:rsidRPr="00D77997" w14:paraId="2EB905A6" w14:textId="77777777" w:rsidTr="00044BB4"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2D36" w14:textId="77777777" w:rsidR="009F0150" w:rsidRPr="00D77997" w:rsidRDefault="009F0150" w:rsidP="00712EF0">
            <w:pPr>
              <w:widowControl w:val="0"/>
              <w:spacing w:after="0" w:line="240" w:lineRule="auto"/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b/>
                <w:bCs/>
                <w:color w:val="000000" w:themeColor="text1"/>
                <w:sz w:val="22"/>
                <w:szCs w:val="22"/>
              </w:rPr>
              <w:t>Not accounting for working style differences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2B48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Ask the attorney to recap the assignment via email after the meeting</w:t>
            </w:r>
          </w:p>
          <w:p w14:paraId="131D71FA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Ask how the attorney plans to approach the task, giving you a chance to hear the thought process (and spot issues)</w:t>
            </w:r>
          </w:p>
          <w:p w14:paraId="6BAA515E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 xml:space="preserve">Check in the next day after work has begun, asking about progress and offering to answer any additional </w:t>
            </w:r>
            <w:proofErr w:type="gramStart"/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questions</w:t>
            </w:r>
            <w:proofErr w:type="gramEnd"/>
          </w:p>
          <w:p w14:paraId="00008348" w14:textId="77777777" w:rsidR="009F0150" w:rsidRPr="00D77997" w:rsidRDefault="009F0150" w:rsidP="009F0150">
            <w:pPr>
              <w:widowControl w:val="0"/>
              <w:numPr>
                <w:ilvl w:val="0"/>
                <w:numId w:val="24"/>
              </w:numPr>
              <w:spacing w:after="0" w:line="240" w:lineRule="auto"/>
              <w:rPr>
                <w:rFonts w:ascii="PT Serif" w:hAnsi="PT Serif"/>
                <w:color w:val="000000" w:themeColor="text1"/>
                <w:sz w:val="22"/>
                <w:szCs w:val="22"/>
              </w:rPr>
            </w:pPr>
            <w:r w:rsidRPr="00D77997">
              <w:rPr>
                <w:rFonts w:ascii="PT Serif" w:hAnsi="PT Serif"/>
                <w:color w:val="000000" w:themeColor="text1"/>
                <w:sz w:val="22"/>
                <w:szCs w:val="22"/>
              </w:rPr>
              <w:t>Avoid: “Do you have any questions?” Instead, try: “What questions do you have?”</w:t>
            </w:r>
          </w:p>
        </w:tc>
      </w:tr>
    </w:tbl>
    <w:p w14:paraId="56001C3A" w14:textId="39EED400" w:rsidR="00B95C64" w:rsidRPr="00D77997" w:rsidRDefault="00B95C64" w:rsidP="009F0150">
      <w:pPr>
        <w:pStyle w:val="Heading4"/>
        <w:spacing w:before="0"/>
        <w:rPr>
          <w:rFonts w:ascii="PT Serif" w:hAnsi="PT Serif"/>
        </w:rPr>
      </w:pPr>
    </w:p>
    <w:sectPr w:rsidR="00B95C64" w:rsidRPr="00D77997" w:rsidSect="00D37818">
      <w:footerReference w:type="even" r:id="rId7"/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4E63A" w14:textId="77777777" w:rsidR="00D37818" w:rsidRDefault="00D37818" w:rsidP="00B578DF">
      <w:pPr>
        <w:spacing w:after="0" w:line="240" w:lineRule="auto"/>
      </w:pPr>
      <w:r>
        <w:separator/>
      </w:r>
    </w:p>
  </w:endnote>
  <w:endnote w:type="continuationSeparator" w:id="0">
    <w:p w14:paraId="73392795" w14:textId="77777777" w:rsidR="00D37818" w:rsidRDefault="00D37818" w:rsidP="00B5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23548F7-A7B1-3041-A48B-4D30F25FBD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F32605-CD92-DD40-B6AD-B77616BBD451}"/>
    <w:embedBold r:id="rId3" w:fontKey="{4638FB4A-392C-8543-AEF8-3003DA9E558A}"/>
    <w:embedItalic r:id="rId4" w:fontKey="{AF934E0C-DD91-C74A-90D5-A4E95AB15B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7311113-43D9-1745-82CC-7A60A8F70C6D}"/>
    <w:embedBold r:id="rId6" w:fontKey="{6656FA42-A63E-D844-BC3C-FC9BE090F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D3C615-BFF3-194E-99D2-9E612D40F327}"/>
    <w:embedBold r:id="rId8" w:fontKey="{F81DD114-BF55-A946-9B4E-5EA162D63E05}"/>
  </w:font>
  <w:font w:name="Times">
    <w:altName w:val="Sylfaen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DBC240F-9569-DF4E-BF40-693746658F9E}"/>
    <w:embedItalic r:id="rId11" w:fontKey="{C04DBC2A-63EC-B545-953A-006BE9701820}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5771049"/>
      <w:docPartObj>
        <w:docPartGallery w:val="Page Numbers (Bottom of Page)"/>
        <w:docPartUnique/>
      </w:docPartObj>
    </w:sdtPr>
    <w:sdtContent>
      <w:p w14:paraId="508751F2" w14:textId="442BE65B" w:rsidR="008C022C" w:rsidRDefault="008C022C" w:rsidP="001F799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246B11" w14:textId="77777777" w:rsidR="008C022C" w:rsidRDefault="008C022C" w:rsidP="008C02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T Serif" w:hAnsi="PT Serif"/>
        <w:sz w:val="18"/>
        <w:szCs w:val="18"/>
      </w:rPr>
      <w:id w:val="-462358113"/>
      <w:docPartObj>
        <w:docPartGallery w:val="Page Numbers (Bottom of Page)"/>
        <w:docPartUnique/>
      </w:docPartObj>
    </w:sdtPr>
    <w:sdtContent>
      <w:p w14:paraId="61F43E7F" w14:textId="77777777" w:rsidR="003060E8" w:rsidRPr="0067301E" w:rsidRDefault="003060E8" w:rsidP="003060E8">
        <w:pPr>
          <w:framePr w:wrap="none" w:vAnchor="text" w:hAnchor="margin" w:xAlign="right" w:y="1"/>
          <w:tabs>
            <w:tab w:val="center" w:pos="4680"/>
            <w:tab w:val="right" w:pos="9360"/>
          </w:tabs>
          <w:spacing w:after="0" w:line="240" w:lineRule="auto"/>
          <w:rPr>
            <w:rFonts w:ascii="PT Serif" w:hAnsi="PT Serif"/>
            <w:sz w:val="18"/>
            <w:szCs w:val="18"/>
          </w:rPr>
        </w:pPr>
        <w:r w:rsidRPr="0067301E">
          <w:rPr>
            <w:rFonts w:ascii="PT Serif" w:hAnsi="PT Serif"/>
            <w:sz w:val="18"/>
            <w:szCs w:val="18"/>
          </w:rPr>
          <w:fldChar w:fldCharType="begin"/>
        </w:r>
        <w:r w:rsidRPr="0067301E">
          <w:rPr>
            <w:rFonts w:ascii="PT Serif" w:hAnsi="PT Serif"/>
            <w:sz w:val="18"/>
            <w:szCs w:val="18"/>
          </w:rPr>
          <w:instrText xml:space="preserve"> PAGE </w:instrText>
        </w:r>
        <w:r w:rsidRPr="0067301E">
          <w:rPr>
            <w:rFonts w:ascii="PT Serif" w:hAnsi="PT Serif"/>
            <w:sz w:val="18"/>
            <w:szCs w:val="18"/>
          </w:rPr>
          <w:fldChar w:fldCharType="separate"/>
        </w:r>
        <w:r>
          <w:rPr>
            <w:rFonts w:ascii="PT Serif" w:hAnsi="PT Serif"/>
            <w:noProof/>
            <w:sz w:val="18"/>
            <w:szCs w:val="18"/>
          </w:rPr>
          <w:t>1</w:t>
        </w:r>
        <w:r w:rsidRPr="0067301E">
          <w:rPr>
            <w:rFonts w:ascii="PT Serif" w:hAnsi="PT Serif"/>
            <w:sz w:val="18"/>
            <w:szCs w:val="18"/>
          </w:rPr>
          <w:fldChar w:fldCharType="end"/>
        </w:r>
      </w:p>
    </w:sdtContent>
  </w:sdt>
  <w:bookmarkStart w:id="0" w:name="_Hlk119173138"/>
  <w:p w14:paraId="06A496B8" w14:textId="224915DE" w:rsidR="008C022C" w:rsidRPr="003060E8" w:rsidRDefault="003060E8" w:rsidP="003060E8">
    <w:pPr>
      <w:tabs>
        <w:tab w:val="center" w:pos="4680"/>
        <w:tab w:val="right" w:pos="9360"/>
      </w:tabs>
      <w:spacing w:after="0" w:line="240" w:lineRule="auto"/>
      <w:ind w:right="360"/>
      <w:rPr>
        <w:rFonts w:ascii="PT Serif" w:hAnsi="PT Serif"/>
        <w:sz w:val="18"/>
        <w:szCs w:val="18"/>
        <w:lang w:val="en-US"/>
      </w:rPr>
    </w:pP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begin"/>
    </w:r>
    <w:r>
      <w:rPr>
        <w:rFonts w:ascii="PT Serif" w:hAnsi="PT Serif"/>
        <w:color w:val="000000" w:themeColor="text1"/>
        <w:sz w:val="18"/>
        <w:szCs w:val="18"/>
        <w:lang w:val="en-US"/>
      </w:rPr>
      <w:instrText>HYPERLINK "http://allrisebook.com/?utm_campaign=delegation-risks&amp;utm_medium=file&amp;utm_source=toolkit"</w:instrText>
    </w:r>
    <w:r w:rsidRPr="0067301E">
      <w:rPr>
        <w:rFonts w:ascii="PT Serif" w:hAnsi="PT Serif"/>
        <w:color w:val="000000" w:themeColor="text1"/>
        <w:sz w:val="18"/>
        <w:szCs w:val="18"/>
        <w:lang w:val="en-US"/>
      </w:rPr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separate"/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t>AllRiseBook.com</w:t>
    </w:r>
    <w:bookmarkEnd w:id="0"/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end"/>
    </w:r>
    <w:r w:rsidRPr="0067301E">
      <w:rPr>
        <w:rFonts w:ascii="PT Serif" w:hAnsi="PT Serif"/>
        <w:sz w:val="18"/>
        <w:szCs w:val="18"/>
        <w:lang w:val="en-US"/>
      </w:rPr>
      <w:t xml:space="preserve"> © 2022 Ben Sachs and The Landing Group LLC. All Rights Reserved.</w:t>
    </w:r>
    <w:r w:rsidRPr="0067301E">
      <w:rPr>
        <w:rFonts w:ascii="PT Serif" w:hAnsi="PT Serif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C029D" w14:textId="77777777" w:rsidR="00D37818" w:rsidRDefault="00D37818" w:rsidP="00B578DF">
      <w:pPr>
        <w:spacing w:after="0" w:line="240" w:lineRule="auto"/>
      </w:pPr>
      <w:r>
        <w:separator/>
      </w:r>
    </w:p>
  </w:footnote>
  <w:footnote w:type="continuationSeparator" w:id="0">
    <w:p w14:paraId="5772844F" w14:textId="77777777" w:rsidR="00D37818" w:rsidRDefault="00D37818" w:rsidP="00B5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1605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30C3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C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8A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30C4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BAE8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D6C8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48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E0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DA3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F5218"/>
    <w:multiLevelType w:val="multilevel"/>
    <w:tmpl w:val="366053B4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6E52E86"/>
    <w:multiLevelType w:val="multilevel"/>
    <w:tmpl w:val="1E0C062E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997C87"/>
    <w:multiLevelType w:val="multilevel"/>
    <w:tmpl w:val="34B2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9C36E6"/>
    <w:multiLevelType w:val="multilevel"/>
    <w:tmpl w:val="BC466BD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9FB64BB"/>
    <w:multiLevelType w:val="multilevel"/>
    <w:tmpl w:val="2F925EB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6F13347"/>
    <w:multiLevelType w:val="multilevel"/>
    <w:tmpl w:val="C4488B0A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88652FF"/>
    <w:multiLevelType w:val="multilevel"/>
    <w:tmpl w:val="7CA2B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A6E096A"/>
    <w:multiLevelType w:val="multilevel"/>
    <w:tmpl w:val="A8F2CEA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EAE77D1"/>
    <w:multiLevelType w:val="multilevel"/>
    <w:tmpl w:val="9EE40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7C5E86"/>
    <w:multiLevelType w:val="multilevel"/>
    <w:tmpl w:val="F8846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3FB72A2"/>
    <w:multiLevelType w:val="multilevel"/>
    <w:tmpl w:val="1EC6F2A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9245E77"/>
    <w:multiLevelType w:val="multilevel"/>
    <w:tmpl w:val="87D0D282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96D3D46"/>
    <w:multiLevelType w:val="multilevel"/>
    <w:tmpl w:val="F0885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9C61125"/>
    <w:multiLevelType w:val="multilevel"/>
    <w:tmpl w:val="B388D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62417CA"/>
    <w:multiLevelType w:val="multilevel"/>
    <w:tmpl w:val="CBF87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D36369"/>
    <w:multiLevelType w:val="multilevel"/>
    <w:tmpl w:val="1646EF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52C16F1A"/>
    <w:multiLevelType w:val="multilevel"/>
    <w:tmpl w:val="EE96A1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AD27778"/>
    <w:multiLevelType w:val="multilevel"/>
    <w:tmpl w:val="2E5E48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6C250D73"/>
    <w:multiLevelType w:val="multilevel"/>
    <w:tmpl w:val="4872BA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D034CC4"/>
    <w:multiLevelType w:val="multilevel"/>
    <w:tmpl w:val="9BF48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8A650B2"/>
    <w:multiLevelType w:val="multilevel"/>
    <w:tmpl w:val="2904E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8EB1AA7"/>
    <w:multiLevelType w:val="multilevel"/>
    <w:tmpl w:val="75B895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BC915D5"/>
    <w:multiLevelType w:val="multilevel"/>
    <w:tmpl w:val="A09AB4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DE57EC7"/>
    <w:multiLevelType w:val="multilevel"/>
    <w:tmpl w:val="DD36E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029630">
    <w:abstractNumId w:val="31"/>
  </w:num>
  <w:num w:numId="2" w16cid:durableId="1940259722">
    <w:abstractNumId w:val="20"/>
  </w:num>
  <w:num w:numId="3" w16cid:durableId="41254806">
    <w:abstractNumId w:val="14"/>
  </w:num>
  <w:num w:numId="4" w16cid:durableId="1720086403">
    <w:abstractNumId w:val="19"/>
  </w:num>
  <w:num w:numId="5" w16cid:durableId="1241908690">
    <w:abstractNumId w:val="10"/>
  </w:num>
  <w:num w:numId="6" w16cid:durableId="151263027">
    <w:abstractNumId w:val="32"/>
  </w:num>
  <w:num w:numId="7" w16cid:durableId="1109857819">
    <w:abstractNumId w:val="15"/>
  </w:num>
  <w:num w:numId="8" w16cid:durableId="997920724">
    <w:abstractNumId w:val="21"/>
  </w:num>
  <w:num w:numId="9" w16cid:durableId="2011329118">
    <w:abstractNumId w:val="25"/>
  </w:num>
  <w:num w:numId="10" w16cid:durableId="1539275417">
    <w:abstractNumId w:val="11"/>
  </w:num>
  <w:num w:numId="11" w16cid:durableId="51854596">
    <w:abstractNumId w:val="27"/>
  </w:num>
  <w:num w:numId="12" w16cid:durableId="1889023998">
    <w:abstractNumId w:val="17"/>
  </w:num>
  <w:num w:numId="13" w16cid:durableId="1087920749">
    <w:abstractNumId w:val="26"/>
  </w:num>
  <w:num w:numId="14" w16cid:durableId="1128360108">
    <w:abstractNumId w:val="28"/>
  </w:num>
  <w:num w:numId="15" w16cid:durableId="1607494397">
    <w:abstractNumId w:val="29"/>
  </w:num>
  <w:num w:numId="16" w16cid:durableId="1021781954">
    <w:abstractNumId w:val="13"/>
  </w:num>
  <w:num w:numId="17" w16cid:durableId="2070642094">
    <w:abstractNumId w:val="30"/>
  </w:num>
  <w:num w:numId="18" w16cid:durableId="1627544433">
    <w:abstractNumId w:val="12"/>
  </w:num>
  <w:num w:numId="19" w16cid:durableId="1121412694">
    <w:abstractNumId w:val="33"/>
  </w:num>
  <w:num w:numId="20" w16cid:durableId="1071806953">
    <w:abstractNumId w:val="23"/>
  </w:num>
  <w:num w:numId="21" w16cid:durableId="448397425">
    <w:abstractNumId w:val="24"/>
  </w:num>
  <w:num w:numId="22" w16cid:durableId="433794479">
    <w:abstractNumId w:val="16"/>
  </w:num>
  <w:num w:numId="23" w16cid:durableId="1209991836">
    <w:abstractNumId w:val="18"/>
  </w:num>
  <w:num w:numId="24" w16cid:durableId="943801655">
    <w:abstractNumId w:val="22"/>
  </w:num>
  <w:num w:numId="25" w16cid:durableId="1176580559">
    <w:abstractNumId w:val="0"/>
  </w:num>
  <w:num w:numId="26" w16cid:durableId="232743287">
    <w:abstractNumId w:val="1"/>
  </w:num>
  <w:num w:numId="27" w16cid:durableId="1166095124">
    <w:abstractNumId w:val="2"/>
  </w:num>
  <w:num w:numId="28" w16cid:durableId="1353608078">
    <w:abstractNumId w:val="3"/>
  </w:num>
  <w:num w:numId="29" w16cid:durableId="1658803578">
    <w:abstractNumId w:val="8"/>
  </w:num>
  <w:num w:numId="30" w16cid:durableId="1582442671">
    <w:abstractNumId w:val="4"/>
  </w:num>
  <w:num w:numId="31" w16cid:durableId="316299054">
    <w:abstractNumId w:val="5"/>
  </w:num>
  <w:num w:numId="32" w16cid:durableId="1905794266">
    <w:abstractNumId w:val="6"/>
  </w:num>
  <w:num w:numId="33" w16cid:durableId="861893062">
    <w:abstractNumId w:val="7"/>
  </w:num>
  <w:num w:numId="34" w16cid:durableId="626848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F"/>
    <w:rsid w:val="00044BB4"/>
    <w:rsid w:val="000C16F9"/>
    <w:rsid w:val="00100EF4"/>
    <w:rsid w:val="001449D9"/>
    <w:rsid w:val="003060E8"/>
    <w:rsid w:val="003A0231"/>
    <w:rsid w:val="00401F9C"/>
    <w:rsid w:val="005743D0"/>
    <w:rsid w:val="005A4A90"/>
    <w:rsid w:val="005E7D65"/>
    <w:rsid w:val="0060174D"/>
    <w:rsid w:val="00747228"/>
    <w:rsid w:val="00770DE1"/>
    <w:rsid w:val="0079224E"/>
    <w:rsid w:val="007D4345"/>
    <w:rsid w:val="007F6E16"/>
    <w:rsid w:val="00844B25"/>
    <w:rsid w:val="00857CCE"/>
    <w:rsid w:val="00884572"/>
    <w:rsid w:val="008C022C"/>
    <w:rsid w:val="009E3F2F"/>
    <w:rsid w:val="009F0150"/>
    <w:rsid w:val="00AA2CCD"/>
    <w:rsid w:val="00B578DF"/>
    <w:rsid w:val="00B66E20"/>
    <w:rsid w:val="00B95C64"/>
    <w:rsid w:val="00BD4897"/>
    <w:rsid w:val="00C81D30"/>
    <w:rsid w:val="00C82B5F"/>
    <w:rsid w:val="00CB08D6"/>
    <w:rsid w:val="00CC31D9"/>
    <w:rsid w:val="00D37818"/>
    <w:rsid w:val="00D405C0"/>
    <w:rsid w:val="00D77997"/>
    <w:rsid w:val="00E41D92"/>
    <w:rsid w:val="00ED08FD"/>
    <w:rsid w:val="00F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5A36A0"/>
  <w15:chartTrackingRefBased/>
  <w15:docId w15:val="{808E2820-8C2D-2841-A939-4BC8419A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78DF"/>
    <w:pPr>
      <w:spacing w:after="240" w:line="360" w:lineRule="auto"/>
    </w:pPr>
    <w:rPr>
      <w:rFonts w:ascii="Cambria" w:eastAsia="Cambria" w:hAnsi="Cambria" w:cs="Cambria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78DF"/>
    <w:pPr>
      <w:keepNext/>
      <w:keepLines/>
      <w:spacing w:before="360"/>
      <w:outlineLvl w:val="0"/>
    </w:pPr>
    <w:rPr>
      <w:rFonts w:ascii="Times" w:eastAsiaTheme="majorEastAsia" w:hAnsi="Times" w:cstheme="majorBidi"/>
      <w:b/>
      <w:color w:val="000000" w:themeColor="text1"/>
      <w:sz w:val="32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D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E7D65"/>
    <w:pPr>
      <w:outlineLvl w:val="2"/>
    </w:pPr>
    <w:rPr>
      <w:rFonts w:ascii="PT Serif" w:hAnsi="PT Seri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1D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8DF"/>
    <w:rPr>
      <w:rFonts w:ascii="Times" w:eastAsiaTheme="majorEastAsia" w:hAnsi="Times" w:cstheme="majorBidi"/>
      <w:b/>
      <w:color w:val="000000" w:themeColor="text1"/>
      <w:sz w:val="32"/>
      <w:szCs w:val="40"/>
      <w:u w:val="single"/>
      <w:lang w:val="en"/>
    </w:rPr>
  </w:style>
  <w:style w:type="table" w:styleId="TableGrid">
    <w:name w:val="Table Grid"/>
    <w:aliases w:val="Table Grid - Gray"/>
    <w:basedOn w:val="TableNormal"/>
    <w:uiPriority w:val="39"/>
    <w:rsid w:val="00CB08D6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LGGrid-Gray">
    <w:name w:val="TLG Grid - Gray"/>
    <w:basedOn w:val="TableNormal"/>
    <w:uiPriority w:val="99"/>
    <w:rsid w:val="00CB08D6"/>
    <w:tblPr>
      <w:tblStyleRowBandSize w:val="1"/>
    </w:tbl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table" w:customStyle="1" w:styleId="TLGGrid-Yellow">
    <w:name w:val="TLG Grid - Yellow"/>
    <w:basedOn w:val="TLGGrid-Gray"/>
    <w:uiPriority w:val="99"/>
    <w:rsid w:val="00FE6638"/>
    <w:tblPr/>
    <w:tblStylePr w:type="firstRow">
      <w:rPr>
        <w:b/>
        <w:color w:val="000000" w:themeColor="text1"/>
      </w:rPr>
      <w:tblPr/>
      <w:tcPr>
        <w:shd w:val="clear" w:color="auto" w:fill="FFE120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paragraph" w:styleId="NormalWeb">
    <w:name w:val="Normal (Web)"/>
    <w:basedOn w:val="Normal"/>
    <w:uiPriority w:val="99"/>
    <w:semiHidden/>
    <w:unhideWhenUsed/>
    <w:rsid w:val="00CC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22C"/>
    <w:rPr>
      <w:rFonts w:ascii="Cambria" w:eastAsia="Cambria" w:hAnsi="Cambria" w:cs="Cambria"/>
      <w:lang w:val="en"/>
    </w:rPr>
  </w:style>
  <w:style w:type="paragraph" w:styleId="Footer">
    <w:name w:val="footer"/>
    <w:basedOn w:val="Normal"/>
    <w:link w:val="Foot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22C"/>
    <w:rPr>
      <w:rFonts w:ascii="Cambria" w:eastAsia="Cambria" w:hAnsi="Cambria" w:cs="Cambria"/>
      <w:lang w:val="en"/>
    </w:rPr>
  </w:style>
  <w:style w:type="character" w:styleId="Hyperlink">
    <w:name w:val="Hyperlink"/>
    <w:basedOn w:val="DefaultParagraphFont"/>
    <w:uiPriority w:val="99"/>
    <w:unhideWhenUsed/>
    <w:rsid w:val="003A0231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rsid w:val="008C022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C022C"/>
  </w:style>
  <w:style w:type="character" w:customStyle="1" w:styleId="Heading4Char">
    <w:name w:val="Heading 4 Char"/>
    <w:basedOn w:val="DefaultParagraphFont"/>
    <w:link w:val="Heading4"/>
    <w:uiPriority w:val="9"/>
    <w:rsid w:val="00C81D30"/>
    <w:rPr>
      <w:rFonts w:asciiTheme="majorHAnsi" w:eastAsiaTheme="majorEastAsia" w:hAnsiTheme="majorHAnsi" w:cstheme="majorBidi"/>
      <w:i/>
      <w:iCs/>
      <w:color w:val="2F5496" w:themeColor="accent1" w:themeShade="BF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E7D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5E7D65"/>
    <w:rPr>
      <w:rFonts w:ascii="PT Serif" w:eastAsiaTheme="majorEastAsia" w:hAnsi="PT Serif" w:cstheme="majorBidi"/>
      <w:color w:val="2F5496" w:themeColor="accent1" w:themeShade="BF"/>
      <w:sz w:val="26"/>
      <w:szCs w:val="26"/>
      <w:lang w:val="en"/>
    </w:rPr>
  </w:style>
  <w:style w:type="character" w:styleId="FollowedHyperlink">
    <w:name w:val="FollowedHyperlink"/>
    <w:basedOn w:val="DefaultParagraphFont"/>
    <w:uiPriority w:val="99"/>
    <w:semiHidden/>
    <w:unhideWhenUsed/>
    <w:rsid w:val="003A0231"/>
    <w:rPr>
      <w:color w:val="auto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1463</Characters>
  <Application>Microsoft Office Word</Application>
  <DocSecurity>0</DocSecurity>
  <Lines>39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Sachs, The Landing Group</dc:creator>
  <cp:keywords/>
  <dc:description/>
  <cp:lastModifiedBy>Sachs, Benjamin</cp:lastModifiedBy>
  <cp:revision>4</cp:revision>
  <cp:lastPrinted>2022-11-12T18:15:00Z</cp:lastPrinted>
  <dcterms:created xsi:type="dcterms:W3CDTF">2022-11-13T02:03:00Z</dcterms:created>
  <dcterms:modified xsi:type="dcterms:W3CDTF">2024-02-14T15:45:00Z</dcterms:modified>
  <cp:category/>
</cp:coreProperties>
</file>