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40AE5" w14:textId="6273E435" w:rsidR="009353D4" w:rsidRDefault="004E3404" w:rsidP="009353D4">
      <w:pPr>
        <w:pStyle w:val="Heading1"/>
        <w:spacing w:after="480"/>
      </w:pPr>
      <w:r>
        <w:t>Tips for Breaking Stalemates</w:t>
      </w:r>
    </w:p>
    <w:p w14:paraId="3E86C887" w14:textId="74327149" w:rsidR="002C0EE6" w:rsidRDefault="002C0EE6" w:rsidP="004E3404">
      <w:pPr>
        <w:rPr>
          <w:rFonts w:ascii="PT Serif" w:hAnsi="PT Serif"/>
          <w:sz w:val="22"/>
          <w:szCs w:val="22"/>
          <w:lang w:val="en-US"/>
        </w:rPr>
      </w:pPr>
      <w:r w:rsidRPr="002C0EE6">
        <w:rPr>
          <w:rFonts w:ascii="PT Serif" w:hAnsi="PT Serif"/>
          <w:sz w:val="22"/>
          <w:szCs w:val="22"/>
          <w:lang w:val="en-US"/>
        </w:rPr>
        <w:t xml:space="preserve">When two people want the same thing, and neither will budge, the conflict can seem impenetrable. Yet for world-class negotiators, it is just another day at the office. </w:t>
      </w:r>
      <w:r>
        <w:rPr>
          <w:rFonts w:ascii="PT Serif" w:hAnsi="PT Serif"/>
          <w:sz w:val="22"/>
          <w:szCs w:val="22"/>
          <w:lang w:val="en-US"/>
        </w:rPr>
        <w:t xml:space="preserve">In Chapter 12 of All Rise, I </w:t>
      </w:r>
      <w:r w:rsidRPr="002C0EE6">
        <w:rPr>
          <w:rFonts w:ascii="PT Serif" w:hAnsi="PT Serif"/>
          <w:sz w:val="22"/>
          <w:szCs w:val="22"/>
          <w:lang w:val="en-US"/>
        </w:rPr>
        <w:t>explain how the tools of modern negotiation can make a lawyer more effective in managing conflicts on their teams as well as with opposing counsel or clients.</w:t>
      </w:r>
      <w:r>
        <w:rPr>
          <w:rFonts w:ascii="PT Serif" w:hAnsi="PT Serif"/>
          <w:sz w:val="22"/>
          <w:szCs w:val="22"/>
          <w:lang w:val="en-US"/>
        </w:rPr>
        <w:t xml:space="preserve"> Below is a summary of those strategies.</w:t>
      </w:r>
    </w:p>
    <w:p w14:paraId="1306BB1F" w14:textId="47829F8A" w:rsidR="004E3404" w:rsidRPr="004E3404" w:rsidRDefault="004E3404" w:rsidP="004E3404">
      <w:pPr>
        <w:rPr>
          <w:rFonts w:ascii="PT Serif" w:hAnsi="PT Serif"/>
          <w:sz w:val="22"/>
          <w:szCs w:val="22"/>
          <w:lang w:val="en-US"/>
        </w:rPr>
      </w:pPr>
      <w:r w:rsidRPr="004E3404">
        <w:rPr>
          <w:rFonts w:ascii="PT Serif" w:hAnsi="PT Serif"/>
          <w:sz w:val="22"/>
          <w:szCs w:val="22"/>
          <w:lang w:val="en-US"/>
        </w:rPr>
        <w:t>Before exploring the tactics below, consider whether you need to address emotional obstacles</w:t>
      </w:r>
      <w:r>
        <w:rPr>
          <w:rFonts w:ascii="PT Serif" w:hAnsi="PT Serif"/>
          <w:sz w:val="22"/>
          <w:szCs w:val="22"/>
          <w:lang w:val="en-US"/>
        </w:rPr>
        <w:t xml:space="preserve"> that might make it difficult (if not impossible) to apply these techniques productively. </w:t>
      </w:r>
      <w:r w:rsidRPr="004E3404">
        <w:rPr>
          <w:rFonts w:ascii="PT Serif" w:hAnsi="PT Serif"/>
          <w:sz w:val="22"/>
          <w:szCs w:val="22"/>
          <w:lang w:val="en-US"/>
        </w:rPr>
        <w:t>See Chapter 11</w:t>
      </w:r>
      <w:r w:rsidR="002C0EE6">
        <w:rPr>
          <w:rFonts w:ascii="PT Serif" w:hAnsi="PT Serif"/>
          <w:sz w:val="22"/>
          <w:szCs w:val="22"/>
          <w:lang w:val="en-US"/>
        </w:rPr>
        <w:t xml:space="preserve"> </w:t>
      </w:r>
      <w:r w:rsidRPr="004E3404">
        <w:rPr>
          <w:rFonts w:ascii="PT Serif" w:hAnsi="PT Serif"/>
          <w:sz w:val="22"/>
          <w:szCs w:val="22"/>
          <w:lang w:val="en-US"/>
        </w:rPr>
        <w:t>for tips for managing emotions, including empathy and active listening.</w:t>
      </w:r>
      <w:r>
        <w:rPr>
          <w:rFonts w:ascii="PT Serif" w:hAnsi="PT Serif"/>
          <w:sz w:val="22"/>
          <w:szCs w:val="22"/>
          <w:lang w:val="en-US"/>
        </w:rPr>
        <w:t xml:space="preserve"> </w:t>
      </w:r>
    </w:p>
    <w:tbl>
      <w:tblPr>
        <w:tblW w:w="10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3085"/>
        <w:gridCol w:w="4475"/>
      </w:tblGrid>
      <w:tr w:rsidR="004E3404" w:rsidRPr="004E3404" w14:paraId="77366810" w14:textId="77777777" w:rsidTr="002C0EE6">
        <w:trPr>
          <w:tblHeader/>
        </w:trPr>
        <w:tc>
          <w:tcPr>
            <w:tcW w:w="2600" w:type="dxa"/>
            <w:shd w:val="clear" w:color="auto" w:fill="1A419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14895" w14:textId="77777777" w:rsidR="004E3404" w:rsidRPr="004E3404" w:rsidRDefault="004E3404" w:rsidP="004E3404">
            <w:pPr>
              <w:spacing w:before="40" w:after="40" w:line="240" w:lineRule="auto"/>
              <w:rPr>
                <w:rFonts w:ascii="PT Serif" w:hAnsi="PT Serif"/>
                <w:color w:val="FFFFFF" w:themeColor="background1"/>
                <w:sz w:val="22"/>
                <w:szCs w:val="22"/>
              </w:rPr>
            </w:pPr>
            <w:r w:rsidRPr="004E3404">
              <w:rPr>
                <w:rFonts w:ascii="PT Serif" w:hAnsi="PT Serif"/>
                <w:b/>
                <w:color w:val="FFFFFF" w:themeColor="background1"/>
                <w:sz w:val="22"/>
                <w:szCs w:val="22"/>
              </w:rPr>
              <w:t>Technique</w:t>
            </w:r>
          </w:p>
        </w:tc>
        <w:tc>
          <w:tcPr>
            <w:tcW w:w="3085" w:type="dxa"/>
            <w:shd w:val="clear" w:color="auto" w:fill="1A419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A5BD0" w14:textId="77777777" w:rsidR="004E3404" w:rsidRPr="004E3404" w:rsidRDefault="004E3404" w:rsidP="004E3404">
            <w:pPr>
              <w:spacing w:before="40" w:after="40" w:line="240" w:lineRule="auto"/>
              <w:rPr>
                <w:rFonts w:ascii="PT Serif" w:hAnsi="PT Serif"/>
                <w:color w:val="FFFFFF" w:themeColor="background1"/>
                <w:sz w:val="22"/>
                <w:szCs w:val="22"/>
              </w:rPr>
            </w:pPr>
            <w:r w:rsidRPr="004E3404">
              <w:rPr>
                <w:rFonts w:ascii="PT Serif" w:hAnsi="PT Serif"/>
                <w:b/>
                <w:color w:val="FFFFFF" w:themeColor="background1"/>
                <w:sz w:val="22"/>
                <w:szCs w:val="22"/>
              </w:rPr>
              <w:t>When to Use</w:t>
            </w:r>
          </w:p>
        </w:tc>
        <w:tc>
          <w:tcPr>
            <w:tcW w:w="4475" w:type="dxa"/>
            <w:shd w:val="clear" w:color="auto" w:fill="1A419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12AD" w14:textId="77777777" w:rsidR="004E3404" w:rsidRPr="004E3404" w:rsidRDefault="004E3404" w:rsidP="004E3404">
            <w:pPr>
              <w:spacing w:before="40" w:after="40" w:line="240" w:lineRule="auto"/>
              <w:rPr>
                <w:rFonts w:ascii="PT Serif" w:hAnsi="PT Serif"/>
                <w:color w:val="FFFFFF" w:themeColor="background1"/>
                <w:sz w:val="22"/>
                <w:szCs w:val="22"/>
              </w:rPr>
            </w:pPr>
            <w:r w:rsidRPr="004E3404">
              <w:rPr>
                <w:rFonts w:ascii="PT Serif" w:hAnsi="PT Serif"/>
                <w:b/>
                <w:color w:val="FFFFFF" w:themeColor="background1"/>
                <w:sz w:val="22"/>
                <w:szCs w:val="22"/>
              </w:rPr>
              <w:t>How to Use</w:t>
            </w:r>
          </w:p>
        </w:tc>
      </w:tr>
      <w:tr w:rsidR="004E3404" w:rsidRPr="004E3404" w14:paraId="2CB92D2A" w14:textId="77777777" w:rsidTr="002C0EE6">
        <w:trPr>
          <w:tblHeader/>
        </w:trPr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31942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b/>
                <w:sz w:val="22"/>
                <w:szCs w:val="22"/>
              </w:rPr>
            </w:pPr>
            <w:r w:rsidRPr="004E3404">
              <w:rPr>
                <w:rFonts w:ascii="PT Serif" w:hAnsi="PT Serif"/>
                <w:b/>
                <w:sz w:val="22"/>
                <w:szCs w:val="22"/>
              </w:rPr>
              <w:t>Focus on Interests (Not Positions)</w:t>
            </w:r>
          </w:p>
        </w:tc>
        <w:tc>
          <w:tcPr>
            <w:tcW w:w="3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CE51A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When we both want, but cannot both have, the same thing (i.e., a zero-sum game)</w:t>
            </w:r>
          </w:p>
        </w:tc>
        <w:tc>
          <w:tcPr>
            <w:tcW w:w="4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CE1E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Ask, “Why is _______ important to you?” Then look for creative solutions.</w:t>
            </w:r>
          </w:p>
        </w:tc>
      </w:tr>
      <w:tr w:rsidR="004E3404" w:rsidRPr="004E3404" w14:paraId="083FD741" w14:textId="77777777" w:rsidTr="002C0EE6">
        <w:trPr>
          <w:tblHeader/>
        </w:trPr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67D0C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b/>
                <w:sz w:val="22"/>
                <w:szCs w:val="22"/>
              </w:rPr>
            </w:pPr>
            <w:r w:rsidRPr="004E3404">
              <w:rPr>
                <w:rFonts w:ascii="PT Serif" w:hAnsi="PT Serif"/>
                <w:b/>
                <w:sz w:val="22"/>
                <w:szCs w:val="22"/>
              </w:rPr>
              <w:t>Appeal to Common Ground</w:t>
            </w:r>
          </w:p>
        </w:tc>
        <w:tc>
          <w:tcPr>
            <w:tcW w:w="3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1891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When both sides are arguing from different facts and perspectives</w:t>
            </w:r>
          </w:p>
        </w:tc>
        <w:tc>
          <w:tcPr>
            <w:tcW w:w="4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3908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 xml:space="preserve">Move higher up in the </w:t>
            </w:r>
            <w:proofErr w:type="gramStart"/>
            <w:r w:rsidRPr="004E3404">
              <w:rPr>
                <w:rFonts w:ascii="PT Serif" w:hAnsi="PT Serif"/>
                <w:sz w:val="22"/>
                <w:szCs w:val="22"/>
              </w:rPr>
              <w:t>interests</w:t>
            </w:r>
            <w:proofErr w:type="gramEnd"/>
            <w:r w:rsidRPr="004E3404">
              <w:rPr>
                <w:rFonts w:ascii="PT Serif" w:hAnsi="PT Serif"/>
                <w:sz w:val="22"/>
                <w:szCs w:val="22"/>
              </w:rPr>
              <w:t xml:space="preserve"> pyramid. Talk about broader goals or principles you can agree on, then work your way back down.</w:t>
            </w:r>
          </w:p>
        </w:tc>
      </w:tr>
      <w:tr w:rsidR="004E3404" w:rsidRPr="004E3404" w14:paraId="779F67F0" w14:textId="77777777" w:rsidTr="002C0EE6">
        <w:trPr>
          <w:tblHeader/>
        </w:trPr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18918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b/>
                <w:sz w:val="22"/>
                <w:szCs w:val="22"/>
              </w:rPr>
            </w:pPr>
            <w:r w:rsidRPr="004E3404">
              <w:rPr>
                <w:rFonts w:ascii="PT Serif" w:hAnsi="PT Serif"/>
                <w:b/>
                <w:sz w:val="22"/>
                <w:szCs w:val="22"/>
              </w:rPr>
              <w:t>Separate Principles and Pragmatism</w:t>
            </w:r>
          </w:p>
        </w:tc>
        <w:tc>
          <w:tcPr>
            <w:tcW w:w="3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2533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When either of you says “it’s the principle of the thing” or warns of a “slippery slope”</w:t>
            </w:r>
          </w:p>
        </w:tc>
        <w:tc>
          <w:tcPr>
            <w:tcW w:w="4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0FA4F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Acknowledge that both sides are “right.” Escalate to a third party or bifurcate the present decision from any “downstream consequences” and address the issues separately.</w:t>
            </w:r>
          </w:p>
        </w:tc>
      </w:tr>
      <w:tr w:rsidR="004E3404" w:rsidRPr="004E3404" w14:paraId="0AB9BBCE" w14:textId="77777777" w:rsidTr="002C0EE6">
        <w:trPr>
          <w:tblHeader/>
        </w:trPr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347B8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b/>
                <w:sz w:val="22"/>
                <w:szCs w:val="22"/>
              </w:rPr>
            </w:pPr>
            <w:r w:rsidRPr="004E3404">
              <w:rPr>
                <w:rFonts w:ascii="PT Serif" w:hAnsi="PT Serif"/>
                <w:b/>
                <w:sz w:val="22"/>
                <w:szCs w:val="22"/>
              </w:rPr>
              <w:t>Focus on Fair Process</w:t>
            </w:r>
          </w:p>
        </w:tc>
        <w:tc>
          <w:tcPr>
            <w:tcW w:w="3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2D0B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When you are a manager who may have to make an unpopular decision</w:t>
            </w:r>
          </w:p>
        </w:tc>
        <w:tc>
          <w:tcPr>
            <w:tcW w:w="4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3D89C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Explain your decision-making process and ensure everyone is heard before making a call.</w:t>
            </w:r>
          </w:p>
        </w:tc>
      </w:tr>
      <w:tr w:rsidR="004E3404" w:rsidRPr="004E3404" w14:paraId="288A1268" w14:textId="77777777" w:rsidTr="002C0EE6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68D3A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b/>
                <w:sz w:val="22"/>
                <w:szCs w:val="22"/>
              </w:rPr>
            </w:pPr>
            <w:r w:rsidRPr="004E3404">
              <w:rPr>
                <w:rFonts w:ascii="PT Serif" w:hAnsi="PT Serif"/>
                <w:b/>
                <w:sz w:val="22"/>
                <w:szCs w:val="22"/>
              </w:rPr>
              <w:t>Defuse Hardball Tactics</w:t>
            </w:r>
          </w:p>
        </w:tc>
        <w:tc>
          <w:tcPr>
            <w:tcW w:w="3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B72D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When someone engages in manipulative behavior or pressure tactics</w:t>
            </w:r>
          </w:p>
        </w:tc>
        <w:tc>
          <w:tcPr>
            <w:tcW w:w="4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3E94C" w14:textId="77777777" w:rsidR="004E3404" w:rsidRPr="004E3404" w:rsidRDefault="004E3404" w:rsidP="00712EF0">
            <w:pPr>
              <w:spacing w:after="0" w:line="240" w:lineRule="auto"/>
              <w:rPr>
                <w:rFonts w:ascii="PT Serif" w:hAnsi="PT Serif"/>
                <w:sz w:val="22"/>
                <w:szCs w:val="22"/>
              </w:rPr>
            </w:pPr>
            <w:r w:rsidRPr="004E3404">
              <w:rPr>
                <w:rFonts w:ascii="PT Serif" w:hAnsi="PT Serif"/>
                <w:sz w:val="22"/>
                <w:szCs w:val="22"/>
              </w:rPr>
              <w:t>Build the person a “bridge” back to the collaborative side of the conflict. Leave them a way to save face or they may dig themselves deeper. As a last resort, consider bringing in someone new to offer a fresh perspective (“changing the players”).</w:t>
            </w:r>
          </w:p>
        </w:tc>
      </w:tr>
    </w:tbl>
    <w:p w14:paraId="14848A7E" w14:textId="77777777" w:rsidR="009353D4" w:rsidRPr="004E3404" w:rsidRDefault="009353D4" w:rsidP="009353D4">
      <w:pPr>
        <w:spacing w:after="0" w:line="240" w:lineRule="auto"/>
        <w:rPr>
          <w:rFonts w:ascii="PT Serif" w:eastAsia="Times New Roman" w:hAnsi="PT Serif" w:cs="Times New Roman"/>
          <w:b/>
          <w:bCs/>
          <w:color w:val="000000"/>
          <w:sz w:val="44"/>
          <w:szCs w:val="44"/>
          <w:lang w:val="en-US"/>
        </w:rPr>
      </w:pPr>
    </w:p>
    <w:sectPr w:rsidR="009353D4" w:rsidRPr="004E3404" w:rsidSect="002B00C9">
      <w:footerReference w:type="even" r:id="rId7"/>
      <w:footerReference w:type="default" r:id="rId8"/>
      <w:pgSz w:w="12240" w:h="15840"/>
      <w:pgMar w:top="864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C4F49" w14:textId="77777777" w:rsidR="002B00C9" w:rsidRDefault="002B00C9" w:rsidP="00B578DF">
      <w:pPr>
        <w:spacing w:after="0" w:line="240" w:lineRule="auto"/>
      </w:pPr>
      <w:r>
        <w:separator/>
      </w:r>
    </w:p>
  </w:endnote>
  <w:endnote w:type="continuationSeparator" w:id="0">
    <w:p w14:paraId="691B4FCA" w14:textId="77777777" w:rsidR="002B00C9" w:rsidRDefault="002B00C9" w:rsidP="00B5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B3382A-A2F7-334E-8136-2DD69A56C03F}"/>
    <w:embedBold r:id="rId2" w:fontKey="{1A4B543D-35E5-BB47-BFDF-BB8900FDE25A}"/>
    <w:embedItalic r:id="rId3" w:fontKey="{97D5DA5B-0447-D145-A471-65E6DB07FCF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B3140F72-9A4D-7542-ABA3-26C3F90658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FF712E0-D74C-D74D-8B78-F8E68A12A79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D41332A-A15F-944A-98A2-986D471C03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F339FC0-2EA8-BB4B-AA49-AB000BE22E03}"/>
    <w:embedBold r:id="rId8" w:fontKey="{36480672-81C7-8241-917F-FF0EF28F1B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590FC65-38FA-7A4B-97D2-32B238B43EC4}"/>
    <w:embedBold r:id="rId10" w:fontKey="{69851D00-B310-4442-A480-222E7DF54590}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337F91C-D9D2-124D-A060-5F8261337C4B}"/>
    <w:embedItalic r:id="rId14" w:fontKey="{02C00400-E04F-8F45-A4AD-F456D7AE5A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5771049"/>
      <w:docPartObj>
        <w:docPartGallery w:val="Page Numbers (Bottom of Page)"/>
        <w:docPartUnique/>
      </w:docPartObj>
    </w:sdtPr>
    <w:sdtContent>
      <w:p w14:paraId="508751F2" w14:textId="442BE65B" w:rsidR="008C022C" w:rsidRDefault="008C022C" w:rsidP="001F799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246B11" w14:textId="77777777" w:rsidR="008C022C" w:rsidRDefault="008C022C" w:rsidP="008C02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T Serif" w:hAnsi="PT Serif"/>
        <w:sz w:val="18"/>
        <w:szCs w:val="18"/>
      </w:rPr>
      <w:id w:val="-462358113"/>
      <w:docPartObj>
        <w:docPartGallery w:val="Page Numbers (Bottom of Page)"/>
        <w:docPartUnique/>
      </w:docPartObj>
    </w:sdtPr>
    <w:sdtContent>
      <w:p w14:paraId="4F5ED989" w14:textId="77777777" w:rsidR="0067301E" w:rsidRPr="0067301E" w:rsidRDefault="0067301E" w:rsidP="0067301E">
        <w:pPr>
          <w:framePr w:wrap="none" w:vAnchor="text" w:hAnchor="margin" w:xAlign="right" w:y="1"/>
          <w:tabs>
            <w:tab w:val="center" w:pos="4680"/>
            <w:tab w:val="right" w:pos="9360"/>
          </w:tabs>
          <w:spacing w:after="0" w:line="240" w:lineRule="auto"/>
          <w:rPr>
            <w:rFonts w:ascii="PT Serif" w:hAnsi="PT Serif"/>
            <w:sz w:val="18"/>
            <w:szCs w:val="18"/>
          </w:rPr>
        </w:pPr>
        <w:r w:rsidRPr="0067301E">
          <w:rPr>
            <w:rFonts w:ascii="PT Serif" w:hAnsi="PT Serif"/>
            <w:sz w:val="18"/>
            <w:szCs w:val="18"/>
          </w:rPr>
          <w:fldChar w:fldCharType="begin"/>
        </w:r>
        <w:r w:rsidRPr="0067301E">
          <w:rPr>
            <w:rFonts w:ascii="PT Serif" w:hAnsi="PT Serif"/>
            <w:sz w:val="18"/>
            <w:szCs w:val="18"/>
          </w:rPr>
          <w:instrText xml:space="preserve"> PAGE </w:instrText>
        </w:r>
        <w:r w:rsidRPr="0067301E">
          <w:rPr>
            <w:rFonts w:ascii="PT Serif" w:hAnsi="PT Serif"/>
            <w:sz w:val="18"/>
            <w:szCs w:val="18"/>
          </w:rPr>
          <w:fldChar w:fldCharType="separate"/>
        </w:r>
        <w:r w:rsidRPr="0067301E">
          <w:rPr>
            <w:rFonts w:ascii="PT Serif" w:hAnsi="PT Serif"/>
            <w:noProof/>
            <w:sz w:val="18"/>
            <w:szCs w:val="18"/>
          </w:rPr>
          <w:t>1</w:t>
        </w:r>
        <w:r w:rsidRPr="0067301E">
          <w:rPr>
            <w:rFonts w:ascii="PT Serif" w:hAnsi="PT Serif"/>
            <w:sz w:val="18"/>
            <w:szCs w:val="18"/>
          </w:rPr>
          <w:fldChar w:fldCharType="end"/>
        </w:r>
      </w:p>
    </w:sdtContent>
  </w:sdt>
  <w:bookmarkStart w:id="0" w:name="_Hlk119173138"/>
  <w:p w14:paraId="06A496B8" w14:textId="6804FD32" w:rsidR="008C022C" w:rsidRPr="0067301E" w:rsidRDefault="0067301E" w:rsidP="0067301E">
    <w:pPr>
      <w:tabs>
        <w:tab w:val="center" w:pos="4680"/>
        <w:tab w:val="right" w:pos="9360"/>
      </w:tabs>
      <w:spacing w:after="0" w:line="240" w:lineRule="auto"/>
      <w:ind w:right="360"/>
      <w:rPr>
        <w:rFonts w:ascii="PT Serif" w:hAnsi="PT Serif"/>
        <w:sz w:val="18"/>
        <w:szCs w:val="18"/>
        <w:lang w:val="en-US"/>
      </w:rPr>
    </w:pPr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begin"/>
    </w:r>
    <w:r>
      <w:rPr>
        <w:rFonts w:ascii="PT Serif" w:hAnsi="PT Serif"/>
        <w:color w:val="000000" w:themeColor="text1"/>
        <w:sz w:val="18"/>
        <w:szCs w:val="18"/>
        <w:lang w:val="en-US"/>
      </w:rPr>
      <w:instrText>HYPERLINK "http://allrisebook.com/?utm_campaign=handout-tips-for-breaking-stalemates&amp;utm_medium=file&amp;utm_source=toolkit"</w:instrText>
    </w:r>
    <w:r w:rsidRPr="0067301E">
      <w:rPr>
        <w:rFonts w:ascii="PT Serif" w:hAnsi="PT Serif"/>
        <w:color w:val="000000" w:themeColor="text1"/>
        <w:sz w:val="18"/>
        <w:szCs w:val="18"/>
        <w:lang w:val="en-US"/>
      </w:rPr>
    </w:r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separate"/>
    </w:r>
    <w:r w:rsidRPr="0067301E">
      <w:rPr>
        <w:rFonts w:ascii="PT Serif" w:hAnsi="PT Serif"/>
        <w:color w:val="000000" w:themeColor="text1"/>
        <w:sz w:val="18"/>
        <w:szCs w:val="18"/>
        <w:lang w:val="en-US"/>
      </w:rPr>
      <w:t>AllRiseBook.com</w:t>
    </w:r>
    <w:bookmarkEnd w:id="0"/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end"/>
    </w:r>
    <w:r w:rsidRPr="0067301E">
      <w:rPr>
        <w:rFonts w:ascii="PT Serif" w:hAnsi="PT Serif"/>
        <w:sz w:val="18"/>
        <w:szCs w:val="18"/>
        <w:lang w:val="en-US"/>
      </w:rPr>
      <w:t xml:space="preserve"> © 2022 Ben Sachs and The Landing Group LLC. All Rights Reserved.</w:t>
    </w:r>
    <w:r w:rsidRPr="0067301E">
      <w:rPr>
        <w:rFonts w:ascii="PT Serif" w:hAnsi="PT Serif"/>
        <w:sz w:val="18"/>
        <w:szCs w:val="18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7AA3B" w14:textId="77777777" w:rsidR="002B00C9" w:rsidRDefault="002B00C9" w:rsidP="00B578DF">
      <w:pPr>
        <w:spacing w:after="0" w:line="240" w:lineRule="auto"/>
      </w:pPr>
      <w:r>
        <w:separator/>
      </w:r>
    </w:p>
  </w:footnote>
  <w:footnote w:type="continuationSeparator" w:id="0">
    <w:p w14:paraId="790826CB" w14:textId="77777777" w:rsidR="002B00C9" w:rsidRDefault="002B00C9" w:rsidP="00B57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5218"/>
    <w:multiLevelType w:val="multilevel"/>
    <w:tmpl w:val="366053B4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E52E86"/>
    <w:multiLevelType w:val="multilevel"/>
    <w:tmpl w:val="1E0C062E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997C87"/>
    <w:multiLevelType w:val="multilevel"/>
    <w:tmpl w:val="34B2E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9C36E6"/>
    <w:multiLevelType w:val="multilevel"/>
    <w:tmpl w:val="BC466BDC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FB64BB"/>
    <w:multiLevelType w:val="multilevel"/>
    <w:tmpl w:val="2F925EB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F13347"/>
    <w:multiLevelType w:val="multilevel"/>
    <w:tmpl w:val="C4488B0A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8652FF"/>
    <w:multiLevelType w:val="multilevel"/>
    <w:tmpl w:val="7CA2B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6E096A"/>
    <w:multiLevelType w:val="multilevel"/>
    <w:tmpl w:val="A8F2CEA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FF5CEC"/>
    <w:multiLevelType w:val="hybridMultilevel"/>
    <w:tmpl w:val="DB88B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E77D1"/>
    <w:multiLevelType w:val="multilevel"/>
    <w:tmpl w:val="9EE40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F7C5E86"/>
    <w:multiLevelType w:val="multilevel"/>
    <w:tmpl w:val="F8846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3FB72A2"/>
    <w:multiLevelType w:val="multilevel"/>
    <w:tmpl w:val="1EC6F2A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9245E77"/>
    <w:multiLevelType w:val="multilevel"/>
    <w:tmpl w:val="87D0D282"/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6D3D46"/>
    <w:multiLevelType w:val="multilevel"/>
    <w:tmpl w:val="F0885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9C61125"/>
    <w:multiLevelType w:val="multilevel"/>
    <w:tmpl w:val="B388D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9FF2B5F"/>
    <w:multiLevelType w:val="hybridMultilevel"/>
    <w:tmpl w:val="1DBAE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417CA"/>
    <w:multiLevelType w:val="multilevel"/>
    <w:tmpl w:val="CBF87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1D36369"/>
    <w:multiLevelType w:val="multilevel"/>
    <w:tmpl w:val="1646EF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52C16F1A"/>
    <w:multiLevelType w:val="multilevel"/>
    <w:tmpl w:val="EE96A1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5AD27778"/>
    <w:multiLevelType w:val="multilevel"/>
    <w:tmpl w:val="2E5E48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6AF1442"/>
    <w:multiLevelType w:val="hybridMultilevel"/>
    <w:tmpl w:val="DB88B3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50D73"/>
    <w:multiLevelType w:val="multilevel"/>
    <w:tmpl w:val="4872BA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6D034CC4"/>
    <w:multiLevelType w:val="multilevel"/>
    <w:tmpl w:val="9BF48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4860246"/>
    <w:multiLevelType w:val="hybridMultilevel"/>
    <w:tmpl w:val="3F8E74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A650B2"/>
    <w:multiLevelType w:val="multilevel"/>
    <w:tmpl w:val="2904E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8EB1AA7"/>
    <w:multiLevelType w:val="multilevel"/>
    <w:tmpl w:val="75B895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7BC915D5"/>
    <w:multiLevelType w:val="multilevel"/>
    <w:tmpl w:val="A09AB4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7DE57EC7"/>
    <w:multiLevelType w:val="multilevel"/>
    <w:tmpl w:val="DD36E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EA72883"/>
    <w:multiLevelType w:val="hybridMultilevel"/>
    <w:tmpl w:val="3F8E74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029630">
    <w:abstractNumId w:val="25"/>
  </w:num>
  <w:num w:numId="2" w16cid:durableId="1940259722">
    <w:abstractNumId w:val="11"/>
  </w:num>
  <w:num w:numId="3" w16cid:durableId="41254806">
    <w:abstractNumId w:val="4"/>
  </w:num>
  <w:num w:numId="4" w16cid:durableId="1720086403">
    <w:abstractNumId w:val="10"/>
  </w:num>
  <w:num w:numId="5" w16cid:durableId="1241908690">
    <w:abstractNumId w:val="0"/>
  </w:num>
  <w:num w:numId="6" w16cid:durableId="151263027">
    <w:abstractNumId w:val="26"/>
  </w:num>
  <w:num w:numId="7" w16cid:durableId="1109857819">
    <w:abstractNumId w:val="5"/>
  </w:num>
  <w:num w:numId="8" w16cid:durableId="997920724">
    <w:abstractNumId w:val="12"/>
  </w:num>
  <w:num w:numId="9" w16cid:durableId="2011329118">
    <w:abstractNumId w:val="17"/>
  </w:num>
  <w:num w:numId="10" w16cid:durableId="1539275417">
    <w:abstractNumId w:val="1"/>
  </w:num>
  <w:num w:numId="11" w16cid:durableId="51854596">
    <w:abstractNumId w:val="19"/>
  </w:num>
  <w:num w:numId="12" w16cid:durableId="1889023998">
    <w:abstractNumId w:val="7"/>
  </w:num>
  <w:num w:numId="13" w16cid:durableId="1087920749">
    <w:abstractNumId w:val="18"/>
  </w:num>
  <w:num w:numId="14" w16cid:durableId="1128360108">
    <w:abstractNumId w:val="21"/>
  </w:num>
  <w:num w:numId="15" w16cid:durableId="1607494397">
    <w:abstractNumId w:val="22"/>
  </w:num>
  <w:num w:numId="16" w16cid:durableId="1021781954">
    <w:abstractNumId w:val="3"/>
  </w:num>
  <w:num w:numId="17" w16cid:durableId="2070642094">
    <w:abstractNumId w:val="24"/>
  </w:num>
  <w:num w:numId="18" w16cid:durableId="1627544433">
    <w:abstractNumId w:val="2"/>
  </w:num>
  <w:num w:numId="19" w16cid:durableId="1121412694">
    <w:abstractNumId w:val="27"/>
  </w:num>
  <w:num w:numId="20" w16cid:durableId="1071806953">
    <w:abstractNumId w:val="14"/>
  </w:num>
  <w:num w:numId="21" w16cid:durableId="448397425">
    <w:abstractNumId w:val="16"/>
  </w:num>
  <w:num w:numId="22" w16cid:durableId="433794479">
    <w:abstractNumId w:val="6"/>
  </w:num>
  <w:num w:numId="23" w16cid:durableId="1209991836">
    <w:abstractNumId w:val="9"/>
  </w:num>
  <w:num w:numId="24" w16cid:durableId="943801655">
    <w:abstractNumId w:val="13"/>
  </w:num>
  <w:num w:numId="25" w16cid:durableId="688723806">
    <w:abstractNumId w:val="23"/>
  </w:num>
  <w:num w:numId="26" w16cid:durableId="731657624">
    <w:abstractNumId w:val="28"/>
  </w:num>
  <w:num w:numId="27" w16cid:durableId="865562193">
    <w:abstractNumId w:val="8"/>
  </w:num>
  <w:num w:numId="28" w16cid:durableId="1492599133">
    <w:abstractNumId w:val="20"/>
  </w:num>
  <w:num w:numId="29" w16cid:durableId="1042446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DF"/>
    <w:rsid w:val="00024B5A"/>
    <w:rsid w:val="000C16F9"/>
    <w:rsid w:val="00100EF4"/>
    <w:rsid w:val="001449D9"/>
    <w:rsid w:val="002B00C9"/>
    <w:rsid w:val="002C0EE6"/>
    <w:rsid w:val="00401F9C"/>
    <w:rsid w:val="00415606"/>
    <w:rsid w:val="004E3404"/>
    <w:rsid w:val="005E2DC2"/>
    <w:rsid w:val="005E7D65"/>
    <w:rsid w:val="0060174D"/>
    <w:rsid w:val="0067301E"/>
    <w:rsid w:val="006B0CB5"/>
    <w:rsid w:val="00711F6E"/>
    <w:rsid w:val="00746337"/>
    <w:rsid w:val="00747228"/>
    <w:rsid w:val="0079224E"/>
    <w:rsid w:val="007D4345"/>
    <w:rsid w:val="007F6E16"/>
    <w:rsid w:val="00844B25"/>
    <w:rsid w:val="00857CCE"/>
    <w:rsid w:val="0088151C"/>
    <w:rsid w:val="00884572"/>
    <w:rsid w:val="008C022C"/>
    <w:rsid w:val="009353D4"/>
    <w:rsid w:val="009E3F2F"/>
    <w:rsid w:val="009F0150"/>
    <w:rsid w:val="00AA2CCD"/>
    <w:rsid w:val="00B578DF"/>
    <w:rsid w:val="00B95C64"/>
    <w:rsid w:val="00C37A6E"/>
    <w:rsid w:val="00C753E7"/>
    <w:rsid w:val="00C81D30"/>
    <w:rsid w:val="00C82B5F"/>
    <w:rsid w:val="00CB08D6"/>
    <w:rsid w:val="00CC31D9"/>
    <w:rsid w:val="00D405C0"/>
    <w:rsid w:val="00D90C9B"/>
    <w:rsid w:val="00E41D92"/>
    <w:rsid w:val="00FE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5A36A0"/>
  <w15:chartTrackingRefBased/>
  <w15:docId w15:val="{808E2820-8C2D-2841-A939-4BC8419A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578DF"/>
    <w:pPr>
      <w:spacing w:after="240" w:line="360" w:lineRule="auto"/>
    </w:pPr>
    <w:rPr>
      <w:rFonts w:ascii="Cambria" w:eastAsia="Cambria" w:hAnsi="Cambria" w:cs="Cambria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53D4"/>
    <w:pPr>
      <w:spacing w:after="360" w:line="240" w:lineRule="auto"/>
      <w:jc w:val="center"/>
      <w:outlineLvl w:val="0"/>
    </w:pPr>
    <w:rPr>
      <w:rFonts w:ascii="PT Serif" w:eastAsia="Times New Roman" w:hAnsi="PT Serif" w:cs="Times New Roman"/>
      <w:b/>
      <w:bCs/>
      <w:color w:val="000000"/>
      <w:sz w:val="44"/>
      <w:szCs w:val="4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D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E7D65"/>
    <w:pPr>
      <w:outlineLvl w:val="2"/>
    </w:pPr>
    <w:rPr>
      <w:rFonts w:ascii="PT Serif" w:hAnsi="PT Seri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1D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3D4"/>
    <w:rPr>
      <w:rFonts w:ascii="PT Serif" w:eastAsia="Times New Roman" w:hAnsi="PT Serif" w:cs="Times New Roman"/>
      <w:b/>
      <w:bCs/>
      <w:color w:val="000000"/>
      <w:sz w:val="44"/>
      <w:szCs w:val="44"/>
    </w:rPr>
  </w:style>
  <w:style w:type="table" w:styleId="TableGrid">
    <w:name w:val="Table Grid"/>
    <w:aliases w:val="Table Grid - Gray"/>
    <w:basedOn w:val="TableNormal"/>
    <w:uiPriority w:val="39"/>
    <w:rsid w:val="00CB08D6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595959" w:themeFill="text1" w:themeFillTint="A6"/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TLGGrid-Gray">
    <w:name w:val="TLG Grid - Gray"/>
    <w:basedOn w:val="TableNormal"/>
    <w:uiPriority w:val="99"/>
    <w:rsid w:val="00CB08D6"/>
    <w:tblPr>
      <w:tblStyleRowBandSize w:val="1"/>
    </w:tblPr>
    <w:tblStylePr w:type="firstRow">
      <w:rPr>
        <w:b/>
        <w:color w:val="FFFFFF" w:themeColor="background1"/>
      </w:rPr>
      <w:tblPr/>
      <w:tcPr>
        <w:shd w:val="clear" w:color="auto" w:fill="595959" w:themeFill="text1" w:themeFillTint="A6"/>
      </w:tcPr>
    </w:tblStylePr>
    <w:tblStylePr w:type="firstCol">
      <w:rPr>
        <w:b/>
      </w:rPr>
    </w:tblStylePr>
    <w:tblStylePr w:type="band2Horz">
      <w:tblPr/>
      <w:tcPr>
        <w:shd w:val="clear" w:color="auto" w:fill="E6E6E6"/>
      </w:tcPr>
    </w:tblStylePr>
  </w:style>
  <w:style w:type="table" w:customStyle="1" w:styleId="TLGGrid-Yellow">
    <w:name w:val="TLG Grid - Yellow"/>
    <w:basedOn w:val="TLGGrid-Gray"/>
    <w:uiPriority w:val="99"/>
    <w:rsid w:val="00FE6638"/>
    <w:tblPr/>
    <w:tblStylePr w:type="firstRow">
      <w:rPr>
        <w:b/>
        <w:color w:val="000000" w:themeColor="text1"/>
      </w:rPr>
      <w:tblPr/>
      <w:tcPr>
        <w:shd w:val="clear" w:color="auto" w:fill="FFE120"/>
      </w:tcPr>
    </w:tblStylePr>
    <w:tblStylePr w:type="firstCol">
      <w:rPr>
        <w:b/>
      </w:rPr>
    </w:tblStylePr>
    <w:tblStylePr w:type="band2Horz">
      <w:tblPr/>
      <w:tcPr>
        <w:shd w:val="clear" w:color="auto" w:fill="E6E6E6"/>
      </w:tcPr>
    </w:tblStylePr>
  </w:style>
  <w:style w:type="paragraph" w:styleId="NormalWeb">
    <w:name w:val="Normal (Web)"/>
    <w:basedOn w:val="Normal"/>
    <w:uiPriority w:val="99"/>
    <w:semiHidden/>
    <w:unhideWhenUsed/>
    <w:rsid w:val="00CC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02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22C"/>
    <w:rPr>
      <w:rFonts w:ascii="Cambria" w:eastAsia="Cambria" w:hAnsi="Cambria" w:cs="Cambria"/>
      <w:lang w:val="en"/>
    </w:rPr>
  </w:style>
  <w:style w:type="paragraph" w:styleId="Footer">
    <w:name w:val="footer"/>
    <w:basedOn w:val="Normal"/>
    <w:link w:val="FooterChar"/>
    <w:uiPriority w:val="99"/>
    <w:unhideWhenUsed/>
    <w:rsid w:val="008C02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22C"/>
    <w:rPr>
      <w:rFonts w:ascii="Cambria" w:eastAsia="Cambria" w:hAnsi="Cambria" w:cs="Cambria"/>
      <w:lang w:val="en"/>
    </w:rPr>
  </w:style>
  <w:style w:type="character" w:styleId="Hyperlink">
    <w:name w:val="Hyperlink"/>
    <w:basedOn w:val="DefaultParagraphFont"/>
    <w:uiPriority w:val="99"/>
    <w:unhideWhenUsed/>
    <w:rsid w:val="008C02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C022C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C022C"/>
  </w:style>
  <w:style w:type="character" w:customStyle="1" w:styleId="Heading4Char">
    <w:name w:val="Heading 4 Char"/>
    <w:basedOn w:val="DefaultParagraphFont"/>
    <w:link w:val="Heading4"/>
    <w:uiPriority w:val="9"/>
    <w:rsid w:val="00C81D30"/>
    <w:rPr>
      <w:rFonts w:asciiTheme="majorHAnsi" w:eastAsiaTheme="majorEastAsia" w:hAnsiTheme="majorHAnsi" w:cstheme="majorBidi"/>
      <w:i/>
      <w:iCs/>
      <w:color w:val="2F5496" w:themeColor="accent1" w:themeShade="BF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E7D6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5E7D65"/>
    <w:rPr>
      <w:rFonts w:ascii="PT Serif" w:eastAsiaTheme="majorEastAsia" w:hAnsi="PT Serif" w:cstheme="majorBidi"/>
      <w:color w:val="2F5496" w:themeColor="accent1" w:themeShade="BF"/>
      <w:sz w:val="26"/>
      <w:szCs w:val="26"/>
      <w:lang w:val="en"/>
    </w:rPr>
  </w:style>
  <w:style w:type="paragraph" w:styleId="ListParagraph">
    <w:name w:val="List Paragraph"/>
    <w:basedOn w:val="Normal"/>
    <w:uiPriority w:val="34"/>
    <w:qFormat/>
    <w:rsid w:val="009353D4"/>
    <w:pPr>
      <w:spacing w:after="0" w:line="240" w:lineRule="auto"/>
      <w:ind w:left="720"/>
      <w:contextualSpacing/>
    </w:pPr>
    <w:rPr>
      <w:rFonts w:ascii="PT Sans" w:eastAsiaTheme="minorHAnsi" w:hAnsi="PT Sans" w:cstheme="minorBidi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730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B09F7FE-11F9-FA40-BC00-BA292041B271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319</Words>
  <Characters>1623</Characters>
  <Application>Microsoft Office Word</Application>
  <DocSecurity>0</DocSecurity>
  <Lines>56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Sachs, The Landing Group</dc:creator>
  <cp:keywords/>
  <dc:description/>
  <cp:lastModifiedBy>Sachs, Benjamin</cp:lastModifiedBy>
  <cp:revision>6</cp:revision>
  <cp:lastPrinted>2022-11-12T18:29:00Z</cp:lastPrinted>
  <dcterms:created xsi:type="dcterms:W3CDTF">2022-11-12T18:29:00Z</dcterms:created>
  <dcterms:modified xsi:type="dcterms:W3CDTF">2024-02-14T15:44:00Z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documentId_7162</vt:lpwstr>
  </property>
  <property fmtid="{D5CDD505-2E9C-101B-9397-08002B2CF9AE}" pid="3" name="grammarly_documentContext">
    <vt:lpwstr>{"goals":[],"domain":"general","emotions":[],"dialect":"american"}</vt:lpwstr>
  </property>
</Properties>
</file>